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E4" w:rsidRPr="003E1303" w:rsidRDefault="00C019E4" w:rsidP="00C019E4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 w:rsidRPr="003E1303">
        <w:rPr>
          <w:rFonts w:ascii="Times New Roman" w:eastAsia="Times New Roman" w:hAnsi="Times New Roman" w:cs="Times New Roman"/>
          <w:i/>
          <w:iCs/>
          <w:color w:val="033158"/>
          <w:sz w:val="27"/>
          <w:szCs w:val="27"/>
          <w:lang w:eastAsia="en-GB"/>
        </w:rPr>
        <w:t>description</w:t>
      </w:r>
      <w:proofErr w:type="gramEnd"/>
      <w:r w:rsidRPr="003E1303">
        <w:rPr>
          <w:rFonts w:ascii="Times New Roman" w:eastAsia="Times New Roman" w:hAnsi="Times New Roman" w:cs="Times New Roman"/>
          <w:i/>
          <w:iCs/>
          <w:color w:val="033158"/>
          <w:sz w:val="27"/>
          <w:szCs w:val="27"/>
          <w:lang w:eastAsia="en-GB"/>
        </w:rPr>
        <w:t xml:space="preserve"> &amp; set texts</w:t>
      </w:r>
      <w:r w:rsidR="00A06181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br/>
        <w:t>BBN-ANG-112/s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Introduction to Literary Studies (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Bevezetés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az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irodalomtudomá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nyba</w:t>
      </w:r>
      <w:proofErr w:type="spell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szeminárium</w:t>
      </w:r>
      <w:proofErr w:type="spell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 in autumn 2016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Hargitai</w:t>
      </w:r>
      <w:proofErr w:type="spell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Márta</w:t>
      </w:r>
      <w:proofErr w:type="spell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Wed. 8:30-10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:00 R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443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Description: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The seminar is designed to supplement the lectures and introduce students to some of the most important approaches to literature. In the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classes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poetry, short fiction and drama will be discussed.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Requirements: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all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students should read the set texts in full and in English for the appropriate seminars;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copies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of set texts/e-texts in English should be brought in for the appropriate seminars;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vocabulary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of items should be explored beforehand at home;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each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student should present a set text processing a corresponding topic on this list (see below)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, i.e. 1 presentation per student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;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for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the presentation a useful and detailed handout should be prepared for group-mates &amp; teacher indicating sources;</w:t>
      </w:r>
    </w:p>
    <w:p w:rsidR="00BD6D04" w:rsidRDefault="00BD6D04" w:rsidP="00BD6D04">
      <w:pPr>
        <w:rPr>
          <w:rFonts w:ascii="Noto Serif;serif" w:hAnsi="Noto Serif;serif"/>
          <w:color w:val="000040"/>
          <w:sz w:val="28"/>
          <w:bdr w:val="single" w:sz="2" w:space="1" w:color="033158"/>
        </w:rPr>
      </w:pPr>
      <w:r>
        <w:rPr>
          <w:rFonts w:ascii="Noto Serif;serif" w:hAnsi="Noto Serif;serif"/>
          <w:color w:val="000040"/>
          <w:sz w:val="28"/>
          <w:bdr w:val="single" w:sz="2" w:space="1" w:color="033158"/>
        </w:rPr>
        <w:t xml:space="preserve">Handouts should: - include warming-up exercises: e.g. free association, quizzes, matching exercises, etc. - summarize the main argument of the articles: preferably in the form of a gap-fill exercise - include warming-down exercises: e.g. comprehension check-questions, true-false statements - all exercises should focus on the literary work or the article. 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only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published and reliable internet sources, e.g.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Projectmuse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and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jstor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databases can be used;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no unauthorized, anonymous websites, such as Wikipedia, Essays123,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shmoop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, etc. are acceptable);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for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remote access to databases please go to:</w:t>
      </w:r>
    </w:p>
    <w:p w:rsidR="00C019E4" w:rsidRPr="003E1303" w:rsidRDefault="000F0A1B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hyperlink r:id="rId4" w:history="1">
        <w:r w:rsidR="00C019E4"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http://seaswiki.elte.hu/research/Off-Campus_Access_to_ELTE%E2%80%99s_Licensed_Web_Resources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Students should present their chosen topics ONLY on the assigned dates!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spellStart"/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powerpoint</w:t>
      </w:r>
      <w:proofErr w:type="spellEnd"/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and videos, film reviews and references to theatrical performances are more than welcome!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active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in class participation (continuous assessment);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regular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attendance;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lastRenderedPageBreak/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conscientious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pre-class preparation;</w:t>
      </w:r>
    </w:p>
    <w:p w:rsidR="00C019E4" w:rsidRDefault="00FE424D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at</w:t>
      </w:r>
      <w:proofErr w:type="gram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least 60% at end-term test;</w:t>
      </w:r>
    </w:p>
    <w:p w:rsidR="00FE424D" w:rsidRPr="003E1303" w:rsidRDefault="00FE424D" w:rsidP="00FE424D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for</w:t>
      </w:r>
      <w:proofErr w:type="gram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the end-term test you can bring the articles you have read (1 article/literary work) and the literary works themselves. You will be given 5-6 essay topics based on works and approaches discussed/used in the seminars from which you should choose 3.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Assessment: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based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on 1, the in-class test, 2, in-class presentation , 3, classroom participation.</w:t>
      </w:r>
    </w:p>
    <w:p w:rsidR="00C019E4" w:rsidRPr="00B674AD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</w:pP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Set texts to be read by every student: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21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Sept.</w:t>
      </w:r>
      <w:r w:rsidRPr="0044637E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: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Handout 1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(</w:t>
      </w:r>
      <w:hyperlink r:id="rId5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http://seas3.elte.hu/coursematerial/HargitaiMarta/index.html</w:t>
        </w:r>
      </w:hyperlink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;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Abrams: Orientation of Critical Theories (In: Lodge, David: Twentieth Century Literary Criticism. A Reader (27 copies at SEAS Library);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28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Sept.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T. S. Eliot: Tradition and the Individual Talent (In: Lodge);</w:t>
      </w:r>
    </w:p>
    <w:p w:rsidR="000E0D60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5 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Oct.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Shakespeare,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Sonnet 18 (Shall I compare thee to a summer’s day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?...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</w:t>
      </w:r>
      <w:r w:rsidR="000E2C12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71 (No longer mourn for me…)</w:t>
      </w:r>
      <w:r w:rsidR="000E2C12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130 (My Mistress’ </w:t>
      </w:r>
      <w:r w:rsidR="000E2C12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eyes are nothing like the sun…) 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12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Oct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 Handout 2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(</w:t>
      </w:r>
      <w:hyperlink r:id="rId6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http://seas3.elte.hu/coursematerial/HargitaiMarta/index.html</w:t>
        </w:r>
      </w:hyperlink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;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Yeats: The Symbolism of Poetry (In: Lodge); Yeats, Leda and the Swan;</w:t>
      </w:r>
    </w:p>
    <w:p w:rsidR="000E0D60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19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Oct.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V.Wo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olf</w:t>
      </w:r>
      <w:proofErr w:type="spellEnd"/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Modern Fiction (In: Lodge) 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E.M.Forster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Flat and 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Round Characters... (In: Lodge) </w:t>
      </w: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26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Oct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no class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 no class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9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Nov.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Faulkner, “A Rose for Emily”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</w:t>
      </w: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6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Faulkner, “A Rose for Emily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;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F. S. Fitzgerald,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The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Great Gatsby;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</w:t>
      </w: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3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Nov.”</w:t>
      </w:r>
      <w:r w:rsidRPr="00BB12B1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F. S. Fitzgerald,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The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Great Gatsby;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C019E4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30 Nov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T. Wil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liams, </w:t>
      </w:r>
      <w:proofErr w:type="gram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Streetcar Named Desire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7</w:t>
      </w:r>
      <w:r w:rsidRPr="00B674AD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Dec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B674AD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in-class test: set texts: EVERY ITEM ABOVE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+ </w:t>
      </w:r>
      <w:r w:rsidRPr="00B674AD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1 topic (article) per literary work</w:t>
      </w:r>
    </w:p>
    <w:p w:rsidR="00C019E4" w:rsidRDefault="00980EFA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14 Dec. retakes, farewell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We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ekly syllabus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4278F5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</w:t>
      </w: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4</w:t>
      </w:r>
      <w:r w:rsidRPr="004278F5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Sept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Introduction, application for presentations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Students should present their chosen topics ONLY on the assigned dates! 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21</w:t>
      </w:r>
      <w:r w:rsidRPr="004278F5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Sept.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bring: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handout 1 (</w:t>
      </w:r>
      <w:hyperlink r:id="rId7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http://seas3.elte.hu/coursematerial/HargitaiMarta/index.html</w:t>
        </w:r>
      </w:hyperlink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);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read</w:t>
      </w:r>
      <w:proofErr w:type="gram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Abrams: Orientation of Critical Theories (4 presentations)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28</w:t>
      </w:r>
      <w:r w:rsidRPr="004278F5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Sept.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bring: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handout 1;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read</w:t>
      </w:r>
      <w:proofErr w:type="gram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T. S. Eliot: Tradition and the Individual Talent (1)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="000E0D60" w:rsidRPr="000E2C12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Martin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</w:p>
    <w:p w:rsidR="00C019E4" w:rsidRPr="004278F5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5</w:t>
      </w:r>
      <w:r w:rsidRPr="004278F5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Oct. </w:t>
      </w:r>
    </w:p>
    <w:p w:rsidR="000E0D60" w:rsidRDefault="00C019E4" w:rsidP="000E0D60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read</w:t>
      </w:r>
      <w:proofErr w:type="gram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Shakespeare,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</w:p>
    <w:p w:rsidR="000E0D60" w:rsidRDefault="00C019E4" w:rsidP="000E0D60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Sonnet 18 (Shall I compare thee to a summer’s day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?...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0E0D60" w:rsidRPr="000E2C12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Levente</w:t>
      </w:r>
      <w:proofErr w:type="spellEnd"/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Topic 2-3</w:t>
      </w:r>
    </w:p>
    <w:p w:rsidR="000E0D60" w:rsidRDefault="00C019E4" w:rsidP="000E0D60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Sonnet 71 (No longer mourn for me…)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="000E0D60" w:rsidRPr="000E2C12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Anna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Topic 2-3</w:t>
      </w:r>
    </w:p>
    <w:p w:rsidR="000E0D60" w:rsidRPr="003E1303" w:rsidRDefault="000E0D60" w:rsidP="000E0D60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Sonnet 1</w:t>
      </w:r>
      <w:r w:rsidR="00C019E4"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30 (My Mistress’ eyes are nothing like the sun…)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0E2C12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Anett</w:t>
      </w:r>
      <w:proofErr w:type="spellEnd"/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Topic 1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Presentation 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opics (articles):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1, Shakespeare's Last Sonnets: Henry David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Gray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Modern Language Notes, Vol. 32, No. 1 (Jan., 1917), pp. 17-21Published by: The Johns Hopkins University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8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http://www.jstor.org/stable/2915655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2, The Drama in Shakespeare's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SonnetsAuthor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Robert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BerkelmanSource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College English, Vol. 10, No. 3 (Dec., 1948), pp. 138-141Published by: National Council of Teachers of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EnglishStable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9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http://www.jstor.org/stable/371802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3, Shakespeare's Sonnets: Reading for Difference Author(s): Helen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VendlerSource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 Bulletin of the American Academy of Arts and Sciences, Vol. 47, No. 6 (Mar., 1994)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,pp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. 33-50Published by: American Academy of Arts &amp;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SciencesStable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</w:t>
      </w:r>
      <w:hyperlink r:id="rId10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http://www.jstor.org/stable/3824425</w:t>
        </w:r>
      </w:hyperlink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12</w:t>
      </w:r>
      <w:r w:rsidRPr="004278F5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Oct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. bring: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handout2 (</w:t>
      </w:r>
      <w:hyperlink r:id="rId11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http://seas3.elte.hu/coursematerial/HargitaiMarta/index.html</w:t>
        </w:r>
      </w:hyperlink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)</w:t>
      </w:r>
    </w:p>
    <w:p w:rsidR="000E0D60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Yeats: The Symbolism of Poetry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Bálint</w:t>
      </w:r>
      <w:proofErr w:type="spellEnd"/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, topic 1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Yeats: Leda and the Swan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Ádám</w:t>
      </w:r>
      <w:proofErr w:type="spellEnd"/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Topic 2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Presentation 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opics: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1, The Poetry of W. B. Yeats Author(s):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Yvor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Winters Source: Twentieth Century Literature, Vol. 6, No. 1 (Apr., 1960), pp. 3-24 Published by: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Hofstra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University Stable URL: </w:t>
      </w:r>
      <w:hyperlink r:id="rId12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http://www.jstor.org/stable/440954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lastRenderedPageBreak/>
        <w:t xml:space="preserve">2, The Rapist in "Leda and the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Swan"Author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W. C.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BarnwellSource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South Atlantic Bulletin, Vol. 42, No. 1 (Jan., 1977), pp. 62-68Published by: South Atlantic Modern Language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AssociationStable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3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http://www.jstor.org/stable/3199055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3, On Yeats's Poem "Leda and the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Swan"Author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Leo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SpitzerSource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Modern Philology, Vol. 51, No. 4 (May, 1954), pp. 271-276Published by: The University of Chicago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4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http://www.jstor.org/stable/435175</w:t>
        </w:r>
      </w:hyperlink>
    </w:p>
    <w:p w:rsidR="000E0D60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19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Oct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read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</w:t>
      </w:r>
      <w:r w:rsidRPr="0044637E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V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 Woolf: Modern Fiction (In: Lodge)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Réka</w:t>
      </w:r>
      <w:proofErr w:type="spellEnd"/>
    </w:p>
    <w:p w:rsidR="000E0D60" w:rsidRPr="003E1303" w:rsidRDefault="00C019E4" w:rsidP="000E0D60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E. M. Forster: Flat and Round Characters... (In: Lodge)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Renáta</w:t>
      </w:r>
      <w:proofErr w:type="spellEnd"/>
    </w:p>
    <w:p w:rsidR="00C019E4" w:rsidRPr="00BB12B1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</w:pP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highlight w:val="yellow"/>
          <w:lang w:eastAsia="en-GB"/>
        </w:rPr>
        <w:t>2</w:t>
      </w: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highlight w:val="yellow"/>
          <w:lang w:eastAsia="en-GB"/>
        </w:rPr>
        <w:t>6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highlight w:val="yellow"/>
          <w:lang w:eastAsia="en-GB"/>
        </w:rPr>
        <w:t xml:space="preserve"> Oct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 xml:space="preserve">. </w:t>
      </w:r>
      <w:r w:rsidRPr="00BB12B1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no class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highlight w:val="yellow"/>
          <w:lang w:eastAsia="en-GB"/>
        </w:rPr>
        <w:t>2</w:t>
      </w:r>
      <w:r w:rsidRPr="0044637E">
        <w:rPr>
          <w:rFonts w:ascii="Times New Roman" w:eastAsia="Times New Roman" w:hAnsi="Times New Roman" w:cs="Times New Roman"/>
          <w:b/>
          <w:color w:val="000040"/>
          <w:sz w:val="27"/>
          <w:szCs w:val="27"/>
          <w:highlight w:val="yellow"/>
          <w:lang w:eastAsia="en-GB"/>
        </w:rPr>
        <w:t xml:space="preserve"> Nov</w:t>
      </w:r>
      <w:r w:rsidRPr="00BB12B1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.: Holiday, no class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9</w:t>
      </w:r>
      <w:r w:rsidRPr="0044637E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.: read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 Faulkner, “A Rose for Emily”;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Presentation 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opics: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1, Emily's Rose of Love: Thematic Implications of Point of View in Faulkner's "A Rose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forEmily"Author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Helen E.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NebekerSource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The Bulletin of the Rocky Mountain Modern Language Association, Vol. 24, No. 1(Mar., 1970), pp. 3-13Published by: Rocky Mountain Modern Language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AssociationStable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5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http://www.jstor.org/stable/1346461</w:t>
        </w:r>
      </w:hyperlink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 + Emily's Rose of Love: A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PostscriptAuthor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Helen E.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NebekerSource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The Bulletin of the Rocky Mountain Modern Language Association, Vol. 24, No. 4(Dec., 1970), pp. 190-191Published by: Rocky Mountain Modern Language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AssociationStable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6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http://www.jstor.org/stable/1346728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Anna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2, The Structure of "A Rose for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Emily"Author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Floyd C.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WatkinsSource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Modern Language Notes, Vol. 69, No. 7 (Nov., 1954), pp. 508-510Published by: The Johns Hopkins University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7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http://www.jstor.org/stable/3039622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Gergő</w:t>
      </w:r>
      <w:proofErr w:type="spellEnd"/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16</w:t>
      </w:r>
      <w:r w:rsidRPr="0044637E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 read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 Faulkner, “A Rose for Emily”;</w:t>
      </w:r>
      <w:r w:rsidRPr="0016305F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F. S. Fitzgerald, The Great Gatsby;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Presentation 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opics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(Faulkner)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3,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One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of the topics discussed in the book below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Miss Emily’s character</w:t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8045D7" w:rsidRPr="000E0D60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Dóri</w:t>
      </w:r>
      <w:proofErr w:type="spellEnd"/>
      <w:r w:rsidR="008045D7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/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chronology/interpretation of the title/ metaphors/ opposition of the South and the North/ interpretation of the short story/narration/ time/ society/ structure/ humour/ horror/ etc.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In: </w:t>
      </w:r>
      <w:r w:rsidRPr="003E1303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William Faulkner A Rose for Emily Edited by M. Thomas Inge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Virginia Commonwealth University The Merrill Literary Casebook Series Edward P. J. Corbett, Editor Charles E. Merrill Publishing Company A Bell &amp; Howell Company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Columubs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, Ohio 1970 (1 copy at SEAS Library))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Presentation 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opics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(Gatsby)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lastRenderedPageBreak/>
        <w:t xml:space="preserve">1, Unreliable Narration in "The Great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Gatsby"Author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Thomas E.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BoyleSource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The Bulletin of the Rocky Mountain Modern Language Association, Vol. 23, No. 1(Mar., 1969), pp. 21-26Published by: Rocky Mountain Modern Language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AssociationStable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fldChar w:fldCharType="begin"/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instrText xml:space="preserve"> HYPERLINK "http://www.jstor.org/stable/1346578" </w:instrTex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fldChar w:fldCharType="separate"/>
      </w:r>
      <w:r w:rsidRPr="003E1303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>http://www.jstor.org/stable/1346578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fldChar w:fldCharType="end"/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2, The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Artifact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in Imagery: Fitzgerald's The Great Gatsby Author(s): M.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BettinaSource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Twentieth Century Literature, Vol. 9, No. 3 (Oct., 1963), pp. 140-142 Published by: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Hofstra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UniversityStable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8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http://www.jstor.org/stable/441031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Chen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3, The Eyes of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Dr.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Eckleburg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A Re-Examination of "The Great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Gatsby"Author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Tom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BurnamSource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College English, Vol. 14, No. 1 (Oct., 1952), pp. 7-12Published by: National Council of Teachers of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EnglishStable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19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http://www.jstor.org/stable/371821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Márton</w:t>
      </w:r>
      <w:proofErr w:type="spellEnd"/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</w:pP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23</w:t>
      </w:r>
      <w:r w:rsidRPr="0016305F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Nov.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read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 F. S. Fitzgerald, The Great Gatsby;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Presentation 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opics: 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4, Dust and Dreams and the Great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GatsbyAuthor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John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FraserSource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ELH, Vol. 32, No. 4 (Dec., 1965), pp. 554-564Published by: The Johns Hopkins University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20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http://www.jstor.org/stable/2872258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Eszter</w:t>
      </w:r>
      <w:proofErr w:type="spellEnd"/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5, Gatsby: False Prophet of the American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DreamAuthor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Roger L.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PearsonSource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The English Journal, Vol. 59, No. 5 (May, 1970), pp. 638-642+645Published by: National Council of Teachers of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EnglishStable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21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http://www.jstor.org/stable/813939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Lilla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6, Sangria in the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Sangreal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"The Great Gatsby" as Grail Quest Author(s): D. G.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Kehl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and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Allene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CooperSource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 Rocky Mountain Review of Language and Literature, Vol. 47, No. 4 (1993), pp. 203-217Published by: Rocky Mountain Modern Language Association Stable URL:</w:t>
      </w:r>
      <w:hyperlink r:id="rId22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http://www.jstor.org/stable/1348307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30 Nov.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read/watch: 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T. Williams, A Streetcar Named Desire;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1, The Plays of Tennessee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WilliamsAuthor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Henry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PopkinSource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: The Tulane Drama Review, Vol. 4, No. 3 (Mar., 1960), pp. 45-64Published by: The MIT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URL: </w:t>
      </w:r>
      <w:hyperlink r:id="rId23" w:history="1">
        <w:r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http://www.jstor.org/stable/1124844</w:t>
        </w:r>
      </w:hyperlink>
      <w:r w:rsidR="000E0D60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33158"/>
          <w:sz w:val="27"/>
          <w:szCs w:val="27"/>
          <w:highlight w:val="yellow"/>
          <w:lang w:eastAsia="en-GB"/>
        </w:rPr>
        <w:t>Júlia</w:t>
      </w:r>
      <w:bookmarkStart w:id="0" w:name="_GoBack"/>
      <w:bookmarkEnd w:id="0"/>
      <w:proofErr w:type="spellEnd"/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2, Authorizing History: Victimization in "A Streetcar Named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Desire"Author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(s):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Anca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Vlasopolos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Source: Theatre Journal, Vol. 38, No. 3, Performance of Textual History (Oct., 1986), pp. 322-338Published by: The Johns Hopkins University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PressStable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URL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: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fldChar w:fldCharType="begin"/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instrText xml:space="preserve"> HYPERLINK "http://www.jstor.org/stable/3208047" </w:instrTex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fldChar w:fldCharType="separate"/>
      </w:r>
      <w:r w:rsidRPr="003E1303">
        <w:rPr>
          <w:rFonts w:ascii="Times New Roman" w:eastAsia="Times New Roman" w:hAnsi="Times New Roman" w:cs="Times New Roman"/>
          <w:color w:val="033158"/>
          <w:sz w:val="27"/>
          <w:szCs w:val="27"/>
          <w:lang w:eastAsia="en-GB"/>
        </w:rPr>
        <w:t>http://www.jstor.org/stable/3208047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fldChar w:fldCharType="end"/>
      </w:r>
      <w:r w:rsidR="000E0D60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</w:t>
      </w:r>
      <w:proofErr w:type="spellStart"/>
      <w:r w:rsidR="000E0D60" w:rsidRPr="000E0D60">
        <w:rPr>
          <w:rFonts w:ascii="Times New Roman" w:eastAsia="Times New Roman" w:hAnsi="Times New Roman" w:cs="Times New Roman"/>
          <w:color w:val="000040"/>
          <w:sz w:val="27"/>
          <w:szCs w:val="27"/>
          <w:highlight w:val="yellow"/>
          <w:lang w:eastAsia="en-GB"/>
        </w:rPr>
        <w:t>Máté</w:t>
      </w:r>
      <w:proofErr w:type="spellEnd"/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3, “OUT, OUT BRIEF CANDLE” Shakespearean Echoes in A Streetcar Named Desire by LYNN SERMIN MESKILL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Université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de Paris XIII-IUT (copy provided)</w:t>
      </w:r>
    </w:p>
    <w:p w:rsidR="00C019E4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7</w:t>
      </w:r>
      <w:r w:rsidRPr="0016305F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Dec</w:t>
      </w:r>
      <w:r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.: in-class test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16305F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1</w:t>
      </w:r>
      <w:r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>4</w:t>
      </w:r>
      <w:r w:rsidRPr="0016305F">
        <w:rPr>
          <w:rFonts w:ascii="Times New Roman" w:eastAsia="Times New Roman" w:hAnsi="Times New Roman" w:cs="Times New Roman"/>
          <w:b/>
          <w:color w:val="000040"/>
          <w:sz w:val="27"/>
          <w:szCs w:val="27"/>
          <w:lang w:eastAsia="en-GB"/>
        </w:rPr>
        <w:t xml:space="preserve"> Dec.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re-takes; evaluation, farewell</w:t>
      </w:r>
    </w:p>
    <w:p w:rsidR="00C019E4" w:rsidRPr="003E1303" w:rsidRDefault="00C019E4" w:rsidP="00C019E4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 w:rsidRPr="003E1303">
        <w:rPr>
          <w:rFonts w:ascii="Times New Roman" w:eastAsia="Times New Roman" w:hAnsi="Times New Roman" w:cs="Times New Roman"/>
          <w:i/>
          <w:iCs/>
          <w:color w:val="033158"/>
          <w:sz w:val="27"/>
          <w:szCs w:val="27"/>
          <w:lang w:eastAsia="en-GB"/>
        </w:rPr>
        <w:lastRenderedPageBreak/>
        <w:t>requirements</w:t>
      </w:r>
      <w:proofErr w:type="gramEnd"/>
      <w:r w:rsidRPr="003E1303">
        <w:rPr>
          <w:rFonts w:ascii="Times New Roman" w:eastAsia="Times New Roman" w:hAnsi="Times New Roman" w:cs="Times New Roman"/>
          <w:i/>
          <w:iCs/>
          <w:color w:val="033158"/>
          <w:sz w:val="27"/>
          <w:szCs w:val="27"/>
          <w:lang w:eastAsia="en-GB"/>
        </w:rPr>
        <w:t xml:space="preserve"> &amp; assessment</w:t>
      </w: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br/>
        <w:t>Requirements: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all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students should read the set texts in full and in English for the appropriate seminars;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copies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of set texts/e-texts in English should be brought in for the appropriate seminars;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vocabulary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of items should be explored beforehand at home;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each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student should present a set text processing a corresponding topic on this list (see below);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for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the presentation a useful and detailed handout should be prepared for group-mates &amp; teacher indicating sources;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only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published and reliable internet sources, e.g.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Projectmuse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and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jstor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databases can be used;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no unauthorized, anonymous websites, such as Wikipedia, Essays123, </w:t>
      </w:r>
      <w:proofErr w:type="spell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shmoop</w:t>
      </w:r>
      <w:proofErr w:type="spell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, etc. are acceptable);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for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remote access to databases please go to:</w:t>
      </w:r>
    </w:p>
    <w:p w:rsidR="00C019E4" w:rsidRPr="003E1303" w:rsidRDefault="000F0A1B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hyperlink r:id="rId24" w:history="1">
        <w:r w:rsidR="00C019E4" w:rsidRPr="003E1303">
          <w:rPr>
            <w:rFonts w:ascii="Times New Roman" w:eastAsia="Times New Roman" w:hAnsi="Times New Roman" w:cs="Times New Roman"/>
            <w:color w:val="033158"/>
            <w:sz w:val="27"/>
            <w:szCs w:val="27"/>
            <w:lang w:eastAsia="en-GB"/>
          </w:rPr>
          <w:t>http://seaswiki.elte.hu/research/Off-Campus_Access_to_ELTE%E2%80%99s_Licensed_Web_Resources</w:t>
        </w:r>
      </w:hyperlink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Students should present their chosen topics ONLY on the assigned dates!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spellStart"/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powerpoint</w:t>
      </w:r>
      <w:proofErr w:type="spellEnd"/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and videos, film reviews and references to theatrical performances are more than welcome!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active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in class participation (continuous assessment);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regular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attendance;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conscientious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pre-class preparation;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- </w:t>
      </w: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at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least 60% at end-term test.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Assessment:</w:t>
      </w:r>
    </w:p>
    <w:p w:rsidR="00C019E4" w:rsidRPr="003E1303" w:rsidRDefault="00C019E4" w:rsidP="00C019E4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</w:pPr>
      <w:proofErr w:type="gramStart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>based</w:t>
      </w:r>
      <w:proofErr w:type="gramEnd"/>
      <w:r w:rsidRPr="003E1303">
        <w:rPr>
          <w:rFonts w:ascii="Times New Roman" w:eastAsia="Times New Roman" w:hAnsi="Times New Roman" w:cs="Times New Roman"/>
          <w:color w:val="000040"/>
          <w:sz w:val="27"/>
          <w:szCs w:val="27"/>
          <w:lang w:eastAsia="en-GB"/>
        </w:rPr>
        <w:t xml:space="preserve"> on 1, the in-class test, 2, in-class presentation , 3, classroom participation.</w:t>
      </w:r>
    </w:p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 w:rsidP="00C019E4"/>
    <w:p w:rsidR="00C019E4" w:rsidRDefault="00C019E4"/>
    <w:p w:rsidR="00C019E4" w:rsidRDefault="00C019E4"/>
    <w:sectPr w:rsidR="00C019E4" w:rsidSect="008D7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erif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03"/>
    <w:rsid w:val="00000678"/>
    <w:rsid w:val="0000295B"/>
    <w:rsid w:val="00005ACB"/>
    <w:rsid w:val="00016288"/>
    <w:rsid w:val="00017722"/>
    <w:rsid w:val="00021650"/>
    <w:rsid w:val="000217B6"/>
    <w:rsid w:val="00021F60"/>
    <w:rsid w:val="00022139"/>
    <w:rsid w:val="0002455B"/>
    <w:rsid w:val="000309B6"/>
    <w:rsid w:val="00031B96"/>
    <w:rsid w:val="00035F9B"/>
    <w:rsid w:val="00045F8A"/>
    <w:rsid w:val="0005432C"/>
    <w:rsid w:val="00056548"/>
    <w:rsid w:val="00057BB4"/>
    <w:rsid w:val="00060337"/>
    <w:rsid w:val="00063160"/>
    <w:rsid w:val="00071644"/>
    <w:rsid w:val="00072E07"/>
    <w:rsid w:val="00073269"/>
    <w:rsid w:val="00073FE8"/>
    <w:rsid w:val="000906AE"/>
    <w:rsid w:val="00096949"/>
    <w:rsid w:val="000A3886"/>
    <w:rsid w:val="000A3D44"/>
    <w:rsid w:val="000A60A9"/>
    <w:rsid w:val="000A6CF1"/>
    <w:rsid w:val="000B349C"/>
    <w:rsid w:val="000B46E8"/>
    <w:rsid w:val="000B4C79"/>
    <w:rsid w:val="000C2F7C"/>
    <w:rsid w:val="000C3A3A"/>
    <w:rsid w:val="000C69CC"/>
    <w:rsid w:val="000E0D2C"/>
    <w:rsid w:val="000E0D60"/>
    <w:rsid w:val="000E2C12"/>
    <w:rsid w:val="000E7592"/>
    <w:rsid w:val="000E7655"/>
    <w:rsid w:val="000F4387"/>
    <w:rsid w:val="000F43C1"/>
    <w:rsid w:val="000F6D05"/>
    <w:rsid w:val="00100640"/>
    <w:rsid w:val="001163C1"/>
    <w:rsid w:val="00121AF8"/>
    <w:rsid w:val="00127A4B"/>
    <w:rsid w:val="00144D63"/>
    <w:rsid w:val="00144F8E"/>
    <w:rsid w:val="00145062"/>
    <w:rsid w:val="00154895"/>
    <w:rsid w:val="00157AF4"/>
    <w:rsid w:val="0016305F"/>
    <w:rsid w:val="00166007"/>
    <w:rsid w:val="00172A37"/>
    <w:rsid w:val="0017528B"/>
    <w:rsid w:val="0017571A"/>
    <w:rsid w:val="00182B8A"/>
    <w:rsid w:val="00186262"/>
    <w:rsid w:val="00186709"/>
    <w:rsid w:val="001A2E69"/>
    <w:rsid w:val="001A6C27"/>
    <w:rsid w:val="001B5A84"/>
    <w:rsid w:val="001C0A7C"/>
    <w:rsid w:val="001C51B1"/>
    <w:rsid w:val="001D0BCE"/>
    <w:rsid w:val="001D3690"/>
    <w:rsid w:val="001D5255"/>
    <w:rsid w:val="001E2A8E"/>
    <w:rsid w:val="00202F3A"/>
    <w:rsid w:val="0020554C"/>
    <w:rsid w:val="002064E8"/>
    <w:rsid w:val="00216A1C"/>
    <w:rsid w:val="00230B36"/>
    <w:rsid w:val="002334CD"/>
    <w:rsid w:val="00233F39"/>
    <w:rsid w:val="00234769"/>
    <w:rsid w:val="002408BE"/>
    <w:rsid w:val="0025233D"/>
    <w:rsid w:val="00252A3F"/>
    <w:rsid w:val="00261DA3"/>
    <w:rsid w:val="00261FF5"/>
    <w:rsid w:val="0026298C"/>
    <w:rsid w:val="002630A8"/>
    <w:rsid w:val="00264224"/>
    <w:rsid w:val="00264AAA"/>
    <w:rsid w:val="00264E8D"/>
    <w:rsid w:val="0028041D"/>
    <w:rsid w:val="00290140"/>
    <w:rsid w:val="00292AD3"/>
    <w:rsid w:val="002951E1"/>
    <w:rsid w:val="002A6AB4"/>
    <w:rsid w:val="002A71E1"/>
    <w:rsid w:val="002B138A"/>
    <w:rsid w:val="002B1441"/>
    <w:rsid w:val="002C1875"/>
    <w:rsid w:val="002D2E45"/>
    <w:rsid w:val="002D7939"/>
    <w:rsid w:val="002D7DA6"/>
    <w:rsid w:val="002E05BD"/>
    <w:rsid w:val="002E0803"/>
    <w:rsid w:val="002E14E3"/>
    <w:rsid w:val="002F23A8"/>
    <w:rsid w:val="002F5ACC"/>
    <w:rsid w:val="00311D50"/>
    <w:rsid w:val="00313182"/>
    <w:rsid w:val="00316A06"/>
    <w:rsid w:val="00320CC6"/>
    <w:rsid w:val="00335DA9"/>
    <w:rsid w:val="00336698"/>
    <w:rsid w:val="00340352"/>
    <w:rsid w:val="003517D7"/>
    <w:rsid w:val="0035458B"/>
    <w:rsid w:val="00357FE7"/>
    <w:rsid w:val="00360ACD"/>
    <w:rsid w:val="00361BEF"/>
    <w:rsid w:val="003714B9"/>
    <w:rsid w:val="0037305A"/>
    <w:rsid w:val="003773DC"/>
    <w:rsid w:val="003808E5"/>
    <w:rsid w:val="00387506"/>
    <w:rsid w:val="00391335"/>
    <w:rsid w:val="00397433"/>
    <w:rsid w:val="003A075F"/>
    <w:rsid w:val="003A39C8"/>
    <w:rsid w:val="003A6F4C"/>
    <w:rsid w:val="003A72D3"/>
    <w:rsid w:val="003B016F"/>
    <w:rsid w:val="003B7664"/>
    <w:rsid w:val="003C0399"/>
    <w:rsid w:val="003C11F2"/>
    <w:rsid w:val="003C6FFC"/>
    <w:rsid w:val="003D264E"/>
    <w:rsid w:val="003D3FED"/>
    <w:rsid w:val="003D7E74"/>
    <w:rsid w:val="003E1303"/>
    <w:rsid w:val="003E2F6C"/>
    <w:rsid w:val="003F32AF"/>
    <w:rsid w:val="00400716"/>
    <w:rsid w:val="004030DF"/>
    <w:rsid w:val="0040577F"/>
    <w:rsid w:val="00422F46"/>
    <w:rsid w:val="00426F82"/>
    <w:rsid w:val="00427249"/>
    <w:rsid w:val="004278F5"/>
    <w:rsid w:val="0043036F"/>
    <w:rsid w:val="00432F09"/>
    <w:rsid w:val="0043309E"/>
    <w:rsid w:val="004346DD"/>
    <w:rsid w:val="00445C3F"/>
    <w:rsid w:val="0044637E"/>
    <w:rsid w:val="00446772"/>
    <w:rsid w:val="004473B7"/>
    <w:rsid w:val="00451823"/>
    <w:rsid w:val="00452BB1"/>
    <w:rsid w:val="0045380A"/>
    <w:rsid w:val="004569F2"/>
    <w:rsid w:val="0046051C"/>
    <w:rsid w:val="00460BA4"/>
    <w:rsid w:val="00464509"/>
    <w:rsid w:val="00466C75"/>
    <w:rsid w:val="00467178"/>
    <w:rsid w:val="00472A72"/>
    <w:rsid w:val="00473581"/>
    <w:rsid w:val="00474340"/>
    <w:rsid w:val="00496305"/>
    <w:rsid w:val="004A718D"/>
    <w:rsid w:val="004B0EAC"/>
    <w:rsid w:val="004B23EF"/>
    <w:rsid w:val="004C0A55"/>
    <w:rsid w:val="004C58F1"/>
    <w:rsid w:val="004C5A98"/>
    <w:rsid w:val="004D2304"/>
    <w:rsid w:val="004D43C1"/>
    <w:rsid w:val="004D6DA0"/>
    <w:rsid w:val="004E1E41"/>
    <w:rsid w:val="004E76C0"/>
    <w:rsid w:val="004F03E7"/>
    <w:rsid w:val="004F2E20"/>
    <w:rsid w:val="004F50B5"/>
    <w:rsid w:val="0050148A"/>
    <w:rsid w:val="00501A4F"/>
    <w:rsid w:val="00506BCE"/>
    <w:rsid w:val="005071A0"/>
    <w:rsid w:val="0051430C"/>
    <w:rsid w:val="00515393"/>
    <w:rsid w:val="00515610"/>
    <w:rsid w:val="00520BD9"/>
    <w:rsid w:val="005249CD"/>
    <w:rsid w:val="005312CE"/>
    <w:rsid w:val="0053137B"/>
    <w:rsid w:val="005440B5"/>
    <w:rsid w:val="0054742B"/>
    <w:rsid w:val="00547C5D"/>
    <w:rsid w:val="005534E1"/>
    <w:rsid w:val="00557611"/>
    <w:rsid w:val="00566E4F"/>
    <w:rsid w:val="0059691B"/>
    <w:rsid w:val="005A155C"/>
    <w:rsid w:val="005A2D1C"/>
    <w:rsid w:val="005A3291"/>
    <w:rsid w:val="005B55C5"/>
    <w:rsid w:val="005C0416"/>
    <w:rsid w:val="005C3F4E"/>
    <w:rsid w:val="005D0675"/>
    <w:rsid w:val="005E2E87"/>
    <w:rsid w:val="005F6442"/>
    <w:rsid w:val="006011DA"/>
    <w:rsid w:val="0060153C"/>
    <w:rsid w:val="00603D2F"/>
    <w:rsid w:val="00605FAC"/>
    <w:rsid w:val="00614A67"/>
    <w:rsid w:val="00624985"/>
    <w:rsid w:val="00630009"/>
    <w:rsid w:val="00632A1E"/>
    <w:rsid w:val="00642709"/>
    <w:rsid w:val="006607E1"/>
    <w:rsid w:val="00662284"/>
    <w:rsid w:val="00663083"/>
    <w:rsid w:val="0066463A"/>
    <w:rsid w:val="00667EE9"/>
    <w:rsid w:val="00671DFD"/>
    <w:rsid w:val="00684B98"/>
    <w:rsid w:val="00687514"/>
    <w:rsid w:val="00692C65"/>
    <w:rsid w:val="006A6265"/>
    <w:rsid w:val="006A6C49"/>
    <w:rsid w:val="006B0688"/>
    <w:rsid w:val="006B1505"/>
    <w:rsid w:val="006B1EB2"/>
    <w:rsid w:val="006B5021"/>
    <w:rsid w:val="006B6113"/>
    <w:rsid w:val="006C03DD"/>
    <w:rsid w:val="006C1EE3"/>
    <w:rsid w:val="006C795C"/>
    <w:rsid w:val="006D378B"/>
    <w:rsid w:val="006D540E"/>
    <w:rsid w:val="006D70BD"/>
    <w:rsid w:val="006F6357"/>
    <w:rsid w:val="007038C1"/>
    <w:rsid w:val="00705D52"/>
    <w:rsid w:val="00707AE0"/>
    <w:rsid w:val="007112E2"/>
    <w:rsid w:val="00722ABF"/>
    <w:rsid w:val="007374EE"/>
    <w:rsid w:val="00750C07"/>
    <w:rsid w:val="007540FF"/>
    <w:rsid w:val="007639BB"/>
    <w:rsid w:val="0076461D"/>
    <w:rsid w:val="00772E38"/>
    <w:rsid w:val="00784A44"/>
    <w:rsid w:val="00790CAB"/>
    <w:rsid w:val="00790DBE"/>
    <w:rsid w:val="00795E72"/>
    <w:rsid w:val="00795FF7"/>
    <w:rsid w:val="00797541"/>
    <w:rsid w:val="007A4FDE"/>
    <w:rsid w:val="007C22D2"/>
    <w:rsid w:val="007C49AE"/>
    <w:rsid w:val="007C5773"/>
    <w:rsid w:val="007C66AD"/>
    <w:rsid w:val="007C6C0E"/>
    <w:rsid w:val="007D0B54"/>
    <w:rsid w:val="007E6782"/>
    <w:rsid w:val="007E6C96"/>
    <w:rsid w:val="007E7232"/>
    <w:rsid w:val="007E7279"/>
    <w:rsid w:val="007F5306"/>
    <w:rsid w:val="007F6F4A"/>
    <w:rsid w:val="007F73A8"/>
    <w:rsid w:val="007F7FC8"/>
    <w:rsid w:val="0080341A"/>
    <w:rsid w:val="008045D7"/>
    <w:rsid w:val="008054E4"/>
    <w:rsid w:val="0081179C"/>
    <w:rsid w:val="00811D32"/>
    <w:rsid w:val="0081496A"/>
    <w:rsid w:val="00822602"/>
    <w:rsid w:val="00827200"/>
    <w:rsid w:val="00834815"/>
    <w:rsid w:val="008365FC"/>
    <w:rsid w:val="00842A86"/>
    <w:rsid w:val="00844E81"/>
    <w:rsid w:val="008461AA"/>
    <w:rsid w:val="008545E1"/>
    <w:rsid w:val="0085754B"/>
    <w:rsid w:val="008600E7"/>
    <w:rsid w:val="00866210"/>
    <w:rsid w:val="00871C1A"/>
    <w:rsid w:val="008747BB"/>
    <w:rsid w:val="0087557C"/>
    <w:rsid w:val="0087608C"/>
    <w:rsid w:val="008A2536"/>
    <w:rsid w:val="008A6B67"/>
    <w:rsid w:val="008B1FA3"/>
    <w:rsid w:val="008B4F0C"/>
    <w:rsid w:val="008B542D"/>
    <w:rsid w:val="008B6B85"/>
    <w:rsid w:val="008B7FAA"/>
    <w:rsid w:val="008C7208"/>
    <w:rsid w:val="008D5A14"/>
    <w:rsid w:val="008D77FE"/>
    <w:rsid w:val="008E1F27"/>
    <w:rsid w:val="008E2236"/>
    <w:rsid w:val="008E3584"/>
    <w:rsid w:val="008E7020"/>
    <w:rsid w:val="008E7289"/>
    <w:rsid w:val="008F194A"/>
    <w:rsid w:val="008F2EDB"/>
    <w:rsid w:val="008F4F01"/>
    <w:rsid w:val="008F63E1"/>
    <w:rsid w:val="009051C6"/>
    <w:rsid w:val="00907FF5"/>
    <w:rsid w:val="0091100C"/>
    <w:rsid w:val="009146E7"/>
    <w:rsid w:val="00920D7F"/>
    <w:rsid w:val="00920EB8"/>
    <w:rsid w:val="00920F31"/>
    <w:rsid w:val="009265F6"/>
    <w:rsid w:val="009317D6"/>
    <w:rsid w:val="00936556"/>
    <w:rsid w:val="0094533F"/>
    <w:rsid w:val="009523D0"/>
    <w:rsid w:val="00960392"/>
    <w:rsid w:val="00964190"/>
    <w:rsid w:val="009642C2"/>
    <w:rsid w:val="00964352"/>
    <w:rsid w:val="00967EC1"/>
    <w:rsid w:val="00975D0F"/>
    <w:rsid w:val="00977B1E"/>
    <w:rsid w:val="00980EFA"/>
    <w:rsid w:val="009878EC"/>
    <w:rsid w:val="009A09D4"/>
    <w:rsid w:val="009A3322"/>
    <w:rsid w:val="009A36FF"/>
    <w:rsid w:val="009A3CD5"/>
    <w:rsid w:val="009A7C6E"/>
    <w:rsid w:val="009B1A31"/>
    <w:rsid w:val="009B291B"/>
    <w:rsid w:val="009B779D"/>
    <w:rsid w:val="009C2B7B"/>
    <w:rsid w:val="009C48C0"/>
    <w:rsid w:val="009C6B5C"/>
    <w:rsid w:val="009D6D82"/>
    <w:rsid w:val="009E7F73"/>
    <w:rsid w:val="009F2936"/>
    <w:rsid w:val="00A0215B"/>
    <w:rsid w:val="00A06181"/>
    <w:rsid w:val="00A1458F"/>
    <w:rsid w:val="00A16644"/>
    <w:rsid w:val="00A264DF"/>
    <w:rsid w:val="00A444F0"/>
    <w:rsid w:val="00A52478"/>
    <w:rsid w:val="00A62306"/>
    <w:rsid w:val="00A6262B"/>
    <w:rsid w:val="00A639AD"/>
    <w:rsid w:val="00A71100"/>
    <w:rsid w:val="00A7201A"/>
    <w:rsid w:val="00A86D35"/>
    <w:rsid w:val="00AA0F3C"/>
    <w:rsid w:val="00AA2852"/>
    <w:rsid w:val="00AB22B8"/>
    <w:rsid w:val="00AB22D5"/>
    <w:rsid w:val="00AC0B96"/>
    <w:rsid w:val="00AD344D"/>
    <w:rsid w:val="00AD57ED"/>
    <w:rsid w:val="00AD6783"/>
    <w:rsid w:val="00AE5FE7"/>
    <w:rsid w:val="00AF0F25"/>
    <w:rsid w:val="00AF3673"/>
    <w:rsid w:val="00AF41A8"/>
    <w:rsid w:val="00AF5D38"/>
    <w:rsid w:val="00AF6AE8"/>
    <w:rsid w:val="00B02F8B"/>
    <w:rsid w:val="00B23CC3"/>
    <w:rsid w:val="00B26531"/>
    <w:rsid w:val="00B40C48"/>
    <w:rsid w:val="00B509F4"/>
    <w:rsid w:val="00B51D09"/>
    <w:rsid w:val="00B66D4E"/>
    <w:rsid w:val="00B674AD"/>
    <w:rsid w:val="00B701E1"/>
    <w:rsid w:val="00B71EF6"/>
    <w:rsid w:val="00B7680C"/>
    <w:rsid w:val="00B77275"/>
    <w:rsid w:val="00B815D9"/>
    <w:rsid w:val="00B916E3"/>
    <w:rsid w:val="00BB12B1"/>
    <w:rsid w:val="00BB3699"/>
    <w:rsid w:val="00BB582F"/>
    <w:rsid w:val="00BC32E3"/>
    <w:rsid w:val="00BC41EB"/>
    <w:rsid w:val="00BC5A76"/>
    <w:rsid w:val="00BC7876"/>
    <w:rsid w:val="00BD6D04"/>
    <w:rsid w:val="00BD7535"/>
    <w:rsid w:val="00BD7A78"/>
    <w:rsid w:val="00BE17D5"/>
    <w:rsid w:val="00C019E4"/>
    <w:rsid w:val="00C248C9"/>
    <w:rsid w:val="00C30DE7"/>
    <w:rsid w:val="00C32DAF"/>
    <w:rsid w:val="00C34CF6"/>
    <w:rsid w:val="00C3582C"/>
    <w:rsid w:val="00C378D2"/>
    <w:rsid w:val="00C450C7"/>
    <w:rsid w:val="00C55F85"/>
    <w:rsid w:val="00C61C5C"/>
    <w:rsid w:val="00C649F3"/>
    <w:rsid w:val="00C700B4"/>
    <w:rsid w:val="00C8086F"/>
    <w:rsid w:val="00C877AD"/>
    <w:rsid w:val="00C92A7B"/>
    <w:rsid w:val="00C95126"/>
    <w:rsid w:val="00C97F48"/>
    <w:rsid w:val="00CA2637"/>
    <w:rsid w:val="00CA295C"/>
    <w:rsid w:val="00CA4169"/>
    <w:rsid w:val="00CA5BCE"/>
    <w:rsid w:val="00CB0BC6"/>
    <w:rsid w:val="00CB0ECB"/>
    <w:rsid w:val="00CC4A4A"/>
    <w:rsid w:val="00CC4DB8"/>
    <w:rsid w:val="00CD42D5"/>
    <w:rsid w:val="00CD7F42"/>
    <w:rsid w:val="00CE5175"/>
    <w:rsid w:val="00CF1C76"/>
    <w:rsid w:val="00CF2D9F"/>
    <w:rsid w:val="00CF3553"/>
    <w:rsid w:val="00D13FAD"/>
    <w:rsid w:val="00D21A2C"/>
    <w:rsid w:val="00D220C8"/>
    <w:rsid w:val="00D22988"/>
    <w:rsid w:val="00D2578D"/>
    <w:rsid w:val="00D3171D"/>
    <w:rsid w:val="00D31CED"/>
    <w:rsid w:val="00D35080"/>
    <w:rsid w:val="00D40E31"/>
    <w:rsid w:val="00D4198F"/>
    <w:rsid w:val="00D5382B"/>
    <w:rsid w:val="00D61609"/>
    <w:rsid w:val="00D61655"/>
    <w:rsid w:val="00D67407"/>
    <w:rsid w:val="00D70C29"/>
    <w:rsid w:val="00D75B28"/>
    <w:rsid w:val="00D850AA"/>
    <w:rsid w:val="00D917BC"/>
    <w:rsid w:val="00D91ACD"/>
    <w:rsid w:val="00D95802"/>
    <w:rsid w:val="00DA0ACA"/>
    <w:rsid w:val="00DA0E87"/>
    <w:rsid w:val="00DA4F1E"/>
    <w:rsid w:val="00DB3ADA"/>
    <w:rsid w:val="00DC58F3"/>
    <w:rsid w:val="00DE4145"/>
    <w:rsid w:val="00DF7910"/>
    <w:rsid w:val="00E018FF"/>
    <w:rsid w:val="00E04A39"/>
    <w:rsid w:val="00E0546A"/>
    <w:rsid w:val="00E10E4C"/>
    <w:rsid w:val="00E46D38"/>
    <w:rsid w:val="00E51DD3"/>
    <w:rsid w:val="00E5324A"/>
    <w:rsid w:val="00E61549"/>
    <w:rsid w:val="00E63AFB"/>
    <w:rsid w:val="00E658DE"/>
    <w:rsid w:val="00E65DD7"/>
    <w:rsid w:val="00E66A68"/>
    <w:rsid w:val="00E901B7"/>
    <w:rsid w:val="00E92936"/>
    <w:rsid w:val="00E97754"/>
    <w:rsid w:val="00EA6B54"/>
    <w:rsid w:val="00EB06FF"/>
    <w:rsid w:val="00EB13D7"/>
    <w:rsid w:val="00EC0E58"/>
    <w:rsid w:val="00EC310E"/>
    <w:rsid w:val="00ED03C6"/>
    <w:rsid w:val="00ED40AC"/>
    <w:rsid w:val="00EE579D"/>
    <w:rsid w:val="00EF17EE"/>
    <w:rsid w:val="00F049C5"/>
    <w:rsid w:val="00F057F8"/>
    <w:rsid w:val="00F14333"/>
    <w:rsid w:val="00F213C0"/>
    <w:rsid w:val="00F2258C"/>
    <w:rsid w:val="00F22CCC"/>
    <w:rsid w:val="00F26017"/>
    <w:rsid w:val="00F36DF7"/>
    <w:rsid w:val="00F41CF0"/>
    <w:rsid w:val="00F431C7"/>
    <w:rsid w:val="00F46258"/>
    <w:rsid w:val="00F46C9D"/>
    <w:rsid w:val="00F47265"/>
    <w:rsid w:val="00F47878"/>
    <w:rsid w:val="00F51A5A"/>
    <w:rsid w:val="00F60C99"/>
    <w:rsid w:val="00F63AD2"/>
    <w:rsid w:val="00F82B8C"/>
    <w:rsid w:val="00F86D9F"/>
    <w:rsid w:val="00F87AFD"/>
    <w:rsid w:val="00F945F3"/>
    <w:rsid w:val="00FA72BB"/>
    <w:rsid w:val="00FC670F"/>
    <w:rsid w:val="00FD248B"/>
    <w:rsid w:val="00FD4180"/>
    <w:rsid w:val="00FD4FA7"/>
    <w:rsid w:val="00FE3DEA"/>
    <w:rsid w:val="00FE424D"/>
    <w:rsid w:val="00FE48CA"/>
    <w:rsid w:val="00FE6E5D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C660C-CFA0-4B68-819A-98D15D85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desc">
    <w:name w:val="desc"/>
    <w:basedOn w:val="Bekezdsalapbettpusa"/>
    <w:rsid w:val="003E1303"/>
  </w:style>
  <w:style w:type="paragraph" w:styleId="NormlWeb">
    <w:name w:val="Normal (Web)"/>
    <w:basedOn w:val="Norml"/>
    <w:uiPriority w:val="99"/>
    <w:semiHidden/>
    <w:unhideWhenUsed/>
    <w:rsid w:val="003E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semiHidden/>
    <w:unhideWhenUsed/>
    <w:rsid w:val="003E130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E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382">
          <w:marLeft w:val="0"/>
          <w:marRight w:val="0"/>
          <w:marTop w:val="0"/>
          <w:marBottom w:val="120"/>
          <w:divBdr>
            <w:top w:val="single" w:sz="6" w:space="6" w:color="033158"/>
            <w:left w:val="single" w:sz="6" w:space="6" w:color="033158"/>
            <w:bottom w:val="single" w:sz="6" w:space="6" w:color="033158"/>
            <w:right w:val="single" w:sz="6" w:space="6" w:color="033158"/>
          </w:divBdr>
        </w:div>
        <w:div w:id="376125547">
          <w:marLeft w:val="0"/>
          <w:marRight w:val="0"/>
          <w:marTop w:val="0"/>
          <w:marBottom w:val="120"/>
          <w:divBdr>
            <w:top w:val="single" w:sz="6" w:space="6" w:color="033158"/>
            <w:left w:val="single" w:sz="6" w:space="6" w:color="033158"/>
            <w:bottom w:val="single" w:sz="6" w:space="6" w:color="033158"/>
            <w:right w:val="single" w:sz="6" w:space="6" w:color="033158"/>
          </w:divBdr>
        </w:div>
      </w:divsChild>
    </w:div>
    <w:div w:id="173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877">
          <w:marLeft w:val="0"/>
          <w:marRight w:val="0"/>
          <w:marTop w:val="0"/>
          <w:marBottom w:val="120"/>
          <w:divBdr>
            <w:top w:val="single" w:sz="6" w:space="6" w:color="033158"/>
            <w:left w:val="single" w:sz="6" w:space="6" w:color="033158"/>
            <w:bottom w:val="single" w:sz="6" w:space="6" w:color="033158"/>
            <w:right w:val="single" w:sz="6" w:space="6" w:color="033158"/>
          </w:divBdr>
        </w:div>
        <w:div w:id="55712977">
          <w:marLeft w:val="0"/>
          <w:marRight w:val="0"/>
          <w:marTop w:val="0"/>
          <w:marBottom w:val="120"/>
          <w:divBdr>
            <w:top w:val="single" w:sz="6" w:space="6" w:color="033158"/>
            <w:left w:val="single" w:sz="6" w:space="6" w:color="033158"/>
            <w:bottom w:val="single" w:sz="6" w:space="6" w:color="033158"/>
            <w:right w:val="single" w:sz="6" w:space="6" w:color="03315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2915655" TargetMode="External"/><Relationship Id="rId13" Type="http://schemas.openxmlformats.org/officeDocument/2006/relationships/hyperlink" Target="http://www.jstor.org/stable/3199055" TargetMode="External"/><Relationship Id="rId18" Type="http://schemas.openxmlformats.org/officeDocument/2006/relationships/hyperlink" Target="http://www.jstor.org/stable/44103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jstor.org/stable/813939" TargetMode="External"/><Relationship Id="rId7" Type="http://schemas.openxmlformats.org/officeDocument/2006/relationships/hyperlink" Target="http://seas3.elte.hu/coursematerial/HargitaiMarta/index.html" TargetMode="External"/><Relationship Id="rId12" Type="http://schemas.openxmlformats.org/officeDocument/2006/relationships/hyperlink" Target="http://www.jstor.org/stable/440954" TargetMode="External"/><Relationship Id="rId17" Type="http://schemas.openxmlformats.org/officeDocument/2006/relationships/hyperlink" Target="http://www.jstor.org/stable/303962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stor.org/stable/1346728" TargetMode="External"/><Relationship Id="rId20" Type="http://schemas.openxmlformats.org/officeDocument/2006/relationships/hyperlink" Target="http://www.jstor.org/stable/2872258" TargetMode="External"/><Relationship Id="rId1" Type="http://schemas.openxmlformats.org/officeDocument/2006/relationships/styles" Target="styles.xml"/><Relationship Id="rId6" Type="http://schemas.openxmlformats.org/officeDocument/2006/relationships/hyperlink" Target="http://seas3.elte.hu/coursematerial/HargitaiMarta/index.html" TargetMode="External"/><Relationship Id="rId11" Type="http://schemas.openxmlformats.org/officeDocument/2006/relationships/hyperlink" Target="http://seas3.elte.hu/coursematerial/HargitaiMarta/index.html" TargetMode="External"/><Relationship Id="rId24" Type="http://schemas.openxmlformats.org/officeDocument/2006/relationships/hyperlink" Target="http://seaswiki.elte.hu/research/Off-Campus_Access_to_ELTE%E2%80%99s_Licensed_Web_Resources" TargetMode="External"/><Relationship Id="rId5" Type="http://schemas.openxmlformats.org/officeDocument/2006/relationships/hyperlink" Target="http://seas3.elte.hu/coursematerial/HargitaiMarta/index.html" TargetMode="External"/><Relationship Id="rId15" Type="http://schemas.openxmlformats.org/officeDocument/2006/relationships/hyperlink" Target="http://www.jstor.org/stable/1346461" TargetMode="External"/><Relationship Id="rId23" Type="http://schemas.openxmlformats.org/officeDocument/2006/relationships/hyperlink" Target="http://www.jstor.org/stable/1124844" TargetMode="External"/><Relationship Id="rId10" Type="http://schemas.openxmlformats.org/officeDocument/2006/relationships/hyperlink" Target="http://www.jstor.org/stable/3824425" TargetMode="External"/><Relationship Id="rId19" Type="http://schemas.openxmlformats.org/officeDocument/2006/relationships/hyperlink" Target="http://www.jstor.org/stable/371821" TargetMode="External"/><Relationship Id="rId4" Type="http://schemas.openxmlformats.org/officeDocument/2006/relationships/hyperlink" Target="http://seaswiki.elte.hu/research/Off-Campus_Access_to_ELTE%E2%80%99s_Licensed_Web_Resources" TargetMode="External"/><Relationship Id="rId9" Type="http://schemas.openxmlformats.org/officeDocument/2006/relationships/hyperlink" Target="http://www.jstor.org/stable/371802" TargetMode="External"/><Relationship Id="rId14" Type="http://schemas.openxmlformats.org/officeDocument/2006/relationships/hyperlink" Target="http://www.jstor.org/stable/435175" TargetMode="External"/><Relationship Id="rId22" Type="http://schemas.openxmlformats.org/officeDocument/2006/relationships/hyperlink" Target="http://www.jstor.org/stable/134830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Állami Számvevőszék</Company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 Gyula</dc:creator>
  <cp:keywords/>
  <dc:description/>
  <cp:lastModifiedBy>Szakács Gyula</cp:lastModifiedBy>
  <cp:revision>2</cp:revision>
  <dcterms:created xsi:type="dcterms:W3CDTF">2016-09-14T13:10:00Z</dcterms:created>
  <dcterms:modified xsi:type="dcterms:W3CDTF">2016-09-14T13:10:00Z</dcterms:modified>
</cp:coreProperties>
</file>