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77A87" w:rsidRPr="001C1422" w:rsidRDefault="001C1422" w:rsidP="001C1422">
      <w:pPr>
        <w:jc w:val="center"/>
        <w:rPr>
          <w:rFonts w:asciiTheme="majorBidi" w:hAnsiTheme="majorBidi" w:cstheme="majorBidi"/>
          <w:sz w:val="24"/>
          <w:szCs w:val="24"/>
        </w:rPr>
      </w:pPr>
      <w:r w:rsidRPr="001C1422">
        <w:rPr>
          <w:rFonts w:asciiTheme="majorBidi" w:hAnsiTheme="majorBidi" w:cstheme="majorBidi"/>
          <w:sz w:val="24"/>
          <w:szCs w:val="24"/>
        </w:rPr>
        <w:t>Little v</w:t>
      </w:r>
    </w:p>
    <w:p w:rsidR="001C1422" w:rsidRDefault="001C1422" w:rsidP="001C1422"/>
    <w:p w:rsidR="001C1422" w:rsidRPr="001C1422" w:rsidRDefault="001C1422" w:rsidP="001C1422">
      <w:pPr>
        <w:pStyle w:val="ListParagraph"/>
        <w:numPr>
          <w:ilvl w:val="0"/>
          <w:numId w:val="1"/>
        </w:numPr>
      </w:pPr>
      <w:r>
        <w:rPr>
          <w:rFonts w:asciiTheme="majorBidi" w:hAnsiTheme="majorBidi" w:cstheme="majorBidi"/>
          <w:sz w:val="24"/>
          <w:szCs w:val="24"/>
        </w:rPr>
        <w:t xml:space="preserve">Upon further scrutinization of argument structure, one finds that theta role assignment requires a bit of fine tuning. </w:t>
      </w:r>
    </w:p>
    <w:p w:rsidR="001C1422" w:rsidRPr="001C1422" w:rsidRDefault="001C1422" w:rsidP="001C1422">
      <w:pPr>
        <w:pStyle w:val="ListParagraph"/>
        <w:numPr>
          <w:ilvl w:val="0"/>
          <w:numId w:val="1"/>
        </w:numPr>
      </w:pPr>
      <w:r>
        <w:rPr>
          <w:rFonts w:asciiTheme="majorBidi" w:hAnsiTheme="majorBidi" w:cstheme="majorBidi"/>
          <w:sz w:val="24"/>
          <w:szCs w:val="24"/>
        </w:rPr>
        <w:t xml:space="preserve">Recall that there are two kinds of arguments: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internal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r>
        <w:rPr>
          <w:rFonts w:asciiTheme="majorBidi" w:hAnsiTheme="majorBidi" w:cstheme="majorBidi"/>
          <w:i/>
          <w:iCs/>
          <w:sz w:val="24"/>
          <w:szCs w:val="24"/>
        </w:rPr>
        <w:t>external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C1422" w:rsidRPr="001C1422" w:rsidRDefault="001C1422" w:rsidP="001C1422">
      <w:pPr>
        <w:pStyle w:val="ListParagraph"/>
        <w:numPr>
          <w:ilvl w:val="0"/>
          <w:numId w:val="1"/>
        </w:numPr>
      </w:pPr>
      <w:r>
        <w:rPr>
          <w:rFonts w:asciiTheme="majorBidi" w:hAnsiTheme="majorBidi" w:cstheme="majorBidi"/>
          <w:sz w:val="24"/>
          <w:szCs w:val="24"/>
        </w:rPr>
        <w:t>Internal arguments can be thought of an argument that is assigned a theta role directly by the verbal predicate.</w:t>
      </w:r>
    </w:p>
    <w:p w:rsidR="001C1422" w:rsidRPr="001C1422" w:rsidRDefault="001C1422" w:rsidP="001C1422">
      <w:pPr>
        <w:pStyle w:val="ListParagraph"/>
        <w:numPr>
          <w:ilvl w:val="0"/>
          <w:numId w:val="1"/>
        </w:numPr>
      </w:pPr>
      <w:r>
        <w:rPr>
          <w:rFonts w:asciiTheme="majorBidi" w:hAnsiTheme="majorBidi" w:cstheme="majorBidi"/>
          <w:sz w:val="24"/>
          <w:szCs w:val="24"/>
        </w:rPr>
        <w:t xml:space="preserve">External arguments can be thought of as those elements which receive a theta role, but not by the verbal argument </w:t>
      </w:r>
      <w:r>
        <w:rPr>
          <w:rFonts w:asciiTheme="majorBidi" w:hAnsiTheme="majorBidi" w:cstheme="majorBidi"/>
          <w:i/>
          <w:iCs/>
          <w:sz w:val="24"/>
          <w:szCs w:val="24"/>
        </w:rPr>
        <w:t>per se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C1422" w:rsidRPr="001C1422" w:rsidRDefault="001C1422" w:rsidP="001C1422">
      <w:pPr>
        <w:pStyle w:val="ListParagraph"/>
        <w:numPr>
          <w:ilvl w:val="0"/>
          <w:numId w:val="1"/>
        </w:numPr>
      </w:pPr>
      <w:r>
        <w:rPr>
          <w:rFonts w:asciiTheme="majorBidi" w:hAnsiTheme="majorBidi" w:cstheme="majorBidi"/>
          <w:sz w:val="24"/>
          <w:szCs w:val="24"/>
        </w:rPr>
        <w:t xml:space="preserve">The external argument is most often associated with the </w:t>
      </w:r>
      <w:r>
        <w:rPr>
          <w:rFonts w:asciiTheme="majorBidi" w:hAnsiTheme="majorBidi" w:cstheme="majorBidi"/>
          <w:i/>
          <w:iCs/>
          <w:sz w:val="24"/>
          <w:szCs w:val="24"/>
        </w:rPr>
        <w:t>clausal subject</w:t>
      </w:r>
      <w:r>
        <w:rPr>
          <w:rFonts w:asciiTheme="majorBidi" w:hAnsiTheme="majorBidi" w:cstheme="majorBidi"/>
          <w:sz w:val="24"/>
          <w:szCs w:val="24"/>
        </w:rPr>
        <w:t xml:space="preserve">. This means that the main verb of a clause is not actually what assigns the AGENT theta role to the subject. </w:t>
      </w:r>
    </w:p>
    <w:p w:rsidR="001C1422" w:rsidRPr="001C1422" w:rsidRDefault="001C1422" w:rsidP="001C1422">
      <w:pPr>
        <w:pStyle w:val="ListParagraph"/>
        <w:numPr>
          <w:ilvl w:val="0"/>
          <w:numId w:val="1"/>
        </w:numPr>
      </w:pPr>
      <w:r>
        <w:rPr>
          <w:rFonts w:asciiTheme="majorBidi" w:hAnsiTheme="majorBidi" w:cstheme="majorBidi"/>
          <w:sz w:val="24"/>
          <w:szCs w:val="24"/>
        </w:rPr>
        <w:t xml:space="preserve">This means that the subject must be assigned this theta role from another head. </w:t>
      </w:r>
    </w:p>
    <w:p w:rsidR="001C1422" w:rsidRPr="001C1422" w:rsidRDefault="001C1422" w:rsidP="001C1422">
      <w:pPr>
        <w:pStyle w:val="ListParagraph"/>
        <w:numPr>
          <w:ilvl w:val="0"/>
          <w:numId w:val="1"/>
        </w:numPr>
      </w:pPr>
      <w:r>
        <w:rPr>
          <w:rFonts w:asciiTheme="majorBidi" w:hAnsiTheme="majorBidi" w:cstheme="majorBidi"/>
          <w:sz w:val="24"/>
          <w:szCs w:val="24"/>
        </w:rPr>
        <w:t>If one were to consider the case of passives in English, one finds that there is a bit of a conundrum with respect to theta role assignment. Consider the following:</w:t>
      </w:r>
    </w:p>
    <w:p w:rsidR="001C1422" w:rsidRDefault="001C1422" w:rsidP="001C1422"/>
    <w:p w:rsidR="001C1422" w:rsidRPr="001C1422" w:rsidRDefault="001C1422" w:rsidP="001C1422">
      <w:pPr>
        <w:pStyle w:val="ListParagraph"/>
        <w:numPr>
          <w:ilvl w:val="0"/>
          <w:numId w:val="2"/>
        </w:numPr>
      </w:pPr>
      <w:r>
        <w:rPr>
          <w:rFonts w:asciiTheme="majorBidi" w:hAnsiTheme="majorBidi" w:cstheme="majorBidi"/>
          <w:sz w:val="24"/>
          <w:szCs w:val="24"/>
        </w:rPr>
        <w:t>The ball was kicked.</w:t>
      </w:r>
    </w:p>
    <w:p w:rsidR="001C1422" w:rsidRDefault="001C1422" w:rsidP="001C1422"/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>This example poses a few issues, but for now, focus on what it means.</w:t>
      </w:r>
    </w:p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 xml:space="preserve">Think about the argument structure for the verb </w:t>
      </w:r>
      <w:r>
        <w:rPr>
          <w:rFonts w:asciiTheme="majorBidi" w:hAnsiTheme="majorBidi" w:cstheme="majorBidi"/>
          <w:i/>
          <w:iCs/>
          <w:sz w:val="24"/>
          <w:szCs w:val="24"/>
        </w:rPr>
        <w:t>kick</w:t>
      </w:r>
      <w:r>
        <w:rPr>
          <w:rFonts w:asciiTheme="majorBidi" w:hAnsiTheme="majorBidi" w:cstheme="majorBidi"/>
          <w:sz w:val="24"/>
          <w:szCs w:val="24"/>
        </w:rPr>
        <w:t xml:space="preserve">. One would expect the following: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kick </w:t>
      </w:r>
      <w:r>
        <w:rPr>
          <w:rFonts w:asciiTheme="majorBidi" w:hAnsiTheme="majorBidi" w:cstheme="majorBidi"/>
          <w:sz w:val="24"/>
          <w:szCs w:val="24"/>
        </w:rPr>
        <w:t>[</w:t>
      </w:r>
      <w:r>
        <w:rPr>
          <w:rFonts w:asciiTheme="majorBidi" w:hAnsiTheme="majorBidi" w:cstheme="majorBidi"/>
          <w:sz w:val="24"/>
          <w:szCs w:val="24"/>
          <w:vertAlign w:val="subscript"/>
        </w:rPr>
        <w:t>DP</w:t>
      </w:r>
      <w:r>
        <w:rPr>
          <w:rFonts w:asciiTheme="majorBidi" w:hAnsiTheme="majorBidi" w:cstheme="majorBidi"/>
          <w:sz w:val="24"/>
          <w:szCs w:val="24"/>
        </w:rPr>
        <w:t>___</w:t>
      </w:r>
      <w:r>
        <w:rPr>
          <w:rFonts w:asciiTheme="majorBidi" w:hAnsiTheme="majorBidi" w:cstheme="majorBidi"/>
          <w:sz w:val="24"/>
          <w:szCs w:val="24"/>
          <w:vertAlign w:val="subscript"/>
        </w:rPr>
        <w:t>DP</w:t>
      </w:r>
      <w:r>
        <w:rPr>
          <w:rFonts w:asciiTheme="majorBidi" w:hAnsiTheme="majorBidi" w:cstheme="majorBidi"/>
          <w:sz w:val="24"/>
          <w:szCs w:val="24"/>
        </w:rPr>
        <w:t>].</w:t>
      </w:r>
    </w:p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>Is this an argument structure that can be observed in (1)? No.</w:t>
      </w:r>
    </w:p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 xml:space="preserve">In addition to this, one can clearly see that </w:t>
      </w:r>
      <w:r>
        <w:rPr>
          <w:rFonts w:asciiTheme="majorBidi" w:hAnsiTheme="majorBidi" w:cstheme="majorBidi"/>
          <w:i/>
          <w:iCs/>
          <w:sz w:val="24"/>
          <w:szCs w:val="24"/>
        </w:rPr>
        <w:t>the ball</w:t>
      </w:r>
      <w:r>
        <w:rPr>
          <w:rFonts w:asciiTheme="majorBidi" w:hAnsiTheme="majorBidi" w:cstheme="majorBidi"/>
          <w:sz w:val="24"/>
          <w:szCs w:val="24"/>
        </w:rPr>
        <w:t xml:space="preserve"> is the sentential subject, but is it the understood AGENT of this clause? Also no. </w:t>
      </w:r>
      <w:r w:rsidR="004A0C20">
        <w:rPr>
          <w:rFonts w:asciiTheme="majorBidi" w:hAnsiTheme="majorBidi" w:cstheme="majorBidi"/>
          <w:sz w:val="24"/>
          <w:szCs w:val="24"/>
        </w:rPr>
        <w:t xml:space="preserve">The ball is not kicking itself. </w:t>
      </w:r>
      <w:r>
        <w:rPr>
          <w:rFonts w:asciiTheme="majorBidi" w:hAnsiTheme="majorBidi" w:cstheme="majorBidi"/>
          <w:sz w:val="24"/>
          <w:szCs w:val="24"/>
        </w:rPr>
        <w:t xml:space="preserve">It is the THEME of this clause. </w:t>
      </w:r>
    </w:p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>This means that the sentence in (1) has no AGENT theta role, which means that the AGENT theta role cannot come from the main verb.</w:t>
      </w:r>
    </w:p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>This forces one to have to reconsider what exactly assigns AGENT in active voice clauses.</w:t>
      </w:r>
    </w:p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>Since it clearly cannot come from the main verb, it has to come from somewhere else.</w:t>
      </w:r>
    </w:p>
    <w:p w:rsidR="001C1422" w:rsidRPr="001C1422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 xml:space="preserve">This is one of the bases for </w:t>
      </w:r>
      <w:r>
        <w:rPr>
          <w:rFonts w:asciiTheme="majorBidi" w:hAnsiTheme="majorBidi" w:cstheme="majorBidi"/>
          <w:i/>
          <w:iCs/>
          <w:sz w:val="24"/>
          <w:szCs w:val="24"/>
        </w:rPr>
        <w:t>little v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C1422" w:rsidRPr="004A0C20" w:rsidRDefault="001C1422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>The little v layer provides one with a convenient location for the assignment of the AGENT theta role.</w:t>
      </w:r>
    </w:p>
    <w:p w:rsidR="004A0C20" w:rsidRPr="004A0C20" w:rsidRDefault="004A0C20" w:rsidP="001C1422">
      <w:pPr>
        <w:pStyle w:val="ListParagraph"/>
        <w:numPr>
          <w:ilvl w:val="0"/>
          <w:numId w:val="3"/>
        </w:numPr>
      </w:pPr>
      <w:r>
        <w:rPr>
          <w:rFonts w:asciiTheme="majorBidi" w:hAnsiTheme="majorBidi" w:cstheme="majorBidi"/>
          <w:sz w:val="24"/>
          <w:szCs w:val="24"/>
        </w:rPr>
        <w:t>The little v layer will appear between T and V.</w:t>
      </w:r>
    </w:p>
    <w:p w:rsidR="004A0C20" w:rsidRDefault="004A0C20" w:rsidP="004A0C20"/>
    <w:p w:rsidR="004A0C20" w:rsidRDefault="004A0C20" w:rsidP="004A0C20">
      <w:r>
        <w:lastRenderedPageBreak/>
        <w:t xml:space="preserve">                                                     </w:t>
      </w:r>
      <w:r w:rsidRPr="00BD4037">
        <w:rPr>
          <w:noProof/>
        </w:rPr>
        <w:drawing>
          <wp:inline distT="0" distB="0" distL="0" distR="0" wp14:anchorId="6F3C6FC1" wp14:editId="7C983EDD">
            <wp:extent cx="2015231" cy="2522290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3927" cy="253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Little v provides one with a location to assign the AGENT theta role, as well as to satisfy the Verb-Internal Subject Hypothesis (VISH).</w:t>
      </w:r>
    </w:p>
    <w:p w:rsid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VISH stipulates that the subject of an active voice clause must be generated in the verbal domain.</w:t>
      </w:r>
    </w:p>
    <w:p w:rsid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This makes intuitive sense because one wants the subject as close to the verb as possible in order to create a semantic relation between the two. </w:t>
      </w:r>
    </w:p>
    <w:p w:rsid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With all of this in mind, one can now posit that the subject of a clause is base-generated in the specifier of </w:t>
      </w:r>
      <w:proofErr w:type="spellStart"/>
      <w:r>
        <w:rPr>
          <w:rFonts w:asciiTheme="majorBidi" w:hAnsiTheme="majorBidi" w:cstheme="majorBidi"/>
          <w:sz w:val="24"/>
          <w:szCs w:val="24"/>
        </w:rPr>
        <w:t>vP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(spec, </w:t>
      </w:r>
      <w:proofErr w:type="spellStart"/>
      <w:r>
        <w:rPr>
          <w:rFonts w:asciiTheme="majorBidi" w:hAnsiTheme="majorBidi" w:cstheme="majorBidi"/>
          <w:sz w:val="24"/>
          <w:szCs w:val="24"/>
        </w:rPr>
        <w:t>vP</w:t>
      </w:r>
      <w:proofErr w:type="spellEnd"/>
      <w:r>
        <w:rPr>
          <w:rFonts w:asciiTheme="majorBidi" w:hAnsiTheme="majorBidi" w:cstheme="majorBidi"/>
          <w:sz w:val="24"/>
          <w:szCs w:val="24"/>
        </w:rPr>
        <w:t>).</w:t>
      </w:r>
    </w:p>
    <w:p w:rsid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Little v is thus responsible for assigning the AGENT theta role to the subject. The main verb does NOT do this. </w:t>
      </w:r>
    </w:p>
    <w:p w:rsid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From spec, </w:t>
      </w:r>
      <w:proofErr w:type="spellStart"/>
      <w:r>
        <w:rPr>
          <w:rFonts w:asciiTheme="majorBidi" w:hAnsiTheme="majorBidi" w:cstheme="majorBidi"/>
          <w:sz w:val="24"/>
          <w:szCs w:val="24"/>
        </w:rPr>
        <w:t>vP</w:t>
      </w:r>
      <w:proofErr w:type="spellEnd"/>
      <w:r>
        <w:rPr>
          <w:rFonts w:asciiTheme="majorBidi" w:hAnsiTheme="majorBidi" w:cstheme="majorBidi"/>
          <w:sz w:val="24"/>
          <w:szCs w:val="24"/>
        </w:rPr>
        <w:t>, the subject is then moved into spec, TP in order to satisfy the Extended Projection Principle (EPP) which says that spec, TP must always be filled.</w:t>
      </w:r>
    </w:p>
    <w:p w:rsid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clauses where there is no agent, then there is no little v layer. So, for example, in (1) little v is not present because there is no need for it to be there.</w:t>
      </w:r>
    </w:p>
    <w:p w:rsidR="004A0C20" w:rsidRPr="004A0C20" w:rsidRDefault="004A0C20" w:rsidP="004A0C2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However, in a clause like </w:t>
      </w:r>
      <w:r>
        <w:rPr>
          <w:rFonts w:asciiTheme="majorBidi" w:hAnsiTheme="majorBidi" w:cstheme="majorBidi"/>
          <w:i/>
          <w:iCs/>
          <w:sz w:val="24"/>
          <w:szCs w:val="24"/>
        </w:rPr>
        <w:t>John kicked the ball</w:t>
      </w:r>
      <w:r>
        <w:rPr>
          <w:rFonts w:asciiTheme="majorBidi" w:hAnsiTheme="majorBidi" w:cstheme="majorBidi"/>
          <w:sz w:val="24"/>
          <w:szCs w:val="24"/>
        </w:rPr>
        <w:t xml:space="preserve"> little v will be present in order to assign the AGENT theta role to John. The verbal predicate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kick </w:t>
      </w:r>
      <w:r>
        <w:rPr>
          <w:rFonts w:asciiTheme="majorBidi" w:hAnsiTheme="majorBidi" w:cstheme="majorBidi"/>
          <w:sz w:val="24"/>
          <w:szCs w:val="24"/>
        </w:rPr>
        <w:t xml:space="preserve">will then only assign the THEME theta role to </w:t>
      </w:r>
      <w:r>
        <w:rPr>
          <w:rFonts w:asciiTheme="majorBidi" w:hAnsiTheme="majorBidi" w:cstheme="majorBidi"/>
          <w:i/>
          <w:iCs/>
          <w:sz w:val="24"/>
          <w:szCs w:val="24"/>
        </w:rPr>
        <w:t>the ball</w:t>
      </w:r>
      <w:r>
        <w:rPr>
          <w:rFonts w:asciiTheme="majorBidi" w:hAnsiTheme="majorBidi" w:cstheme="majorBidi"/>
          <w:sz w:val="24"/>
          <w:szCs w:val="24"/>
        </w:rPr>
        <w:t>.</w:t>
      </w:r>
    </w:p>
    <w:sectPr w:rsidR="004A0C20" w:rsidRPr="004A0C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B6D14"/>
    <w:multiLevelType w:val="hybridMultilevel"/>
    <w:tmpl w:val="64D84B62"/>
    <w:lvl w:ilvl="0" w:tplc="795E9CE2">
      <w:start w:val="1"/>
      <w:numFmt w:val="decimal"/>
      <w:lvlText w:val="(%1)"/>
      <w:lvlJc w:val="left"/>
      <w:pPr>
        <w:ind w:left="1890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 w15:restartNumberingAfterBreak="0">
    <w:nsid w:val="2C643385"/>
    <w:multiLevelType w:val="hybridMultilevel"/>
    <w:tmpl w:val="639A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02CD4"/>
    <w:multiLevelType w:val="hybridMultilevel"/>
    <w:tmpl w:val="EDA8E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52130"/>
    <w:multiLevelType w:val="hybridMultilevel"/>
    <w:tmpl w:val="EC1E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541558">
    <w:abstractNumId w:val="3"/>
  </w:num>
  <w:num w:numId="2" w16cid:durableId="455224002">
    <w:abstractNumId w:val="0"/>
  </w:num>
  <w:num w:numId="3" w16cid:durableId="1872061919">
    <w:abstractNumId w:val="2"/>
  </w:num>
  <w:num w:numId="4" w16cid:durableId="357587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422"/>
    <w:rsid w:val="001C1422"/>
    <w:rsid w:val="004A0C20"/>
    <w:rsid w:val="00D7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B93EB"/>
  <w15:chartTrackingRefBased/>
  <w15:docId w15:val="{300390F1-33BE-4510-BEF8-38D50045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Torres</dc:creator>
  <cp:keywords/>
  <dc:description/>
  <cp:lastModifiedBy>Nathaniel Torres</cp:lastModifiedBy>
  <cp:revision>1</cp:revision>
  <dcterms:created xsi:type="dcterms:W3CDTF">2024-05-06T06:37:00Z</dcterms:created>
  <dcterms:modified xsi:type="dcterms:W3CDTF">2024-05-06T07:09:00Z</dcterms:modified>
</cp:coreProperties>
</file>